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94EA" w14:textId="77777777" w:rsidR="00703BB4" w:rsidRDefault="00F63123">
      <w:pPr>
        <w:pStyle w:val="Nagwek1"/>
        <w:tabs>
          <w:tab w:val="left" w:pos="13817"/>
        </w:tabs>
        <w:spacing w:before="68"/>
        <w:ind w:left="967"/>
      </w:pPr>
      <w:r>
        <w:t>Zestawienie danych dotyczących czynszów najmu lokali mieszkalnych nienależących do publicznego zasobu</w:t>
      </w:r>
      <w:r>
        <w:rPr>
          <w:spacing w:val="-31"/>
        </w:rPr>
        <w:t xml:space="preserve"> </w:t>
      </w:r>
      <w:r>
        <w:t>mieszkaniowego</w:t>
      </w:r>
      <w:r>
        <w:rPr>
          <w:spacing w:val="-4"/>
        </w:rPr>
        <w:t xml:space="preserve"> </w:t>
      </w:r>
      <w:r>
        <w:t>za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7"/>
          <w:u w:val="thick"/>
        </w:rPr>
        <w:t>rok</w:t>
      </w:r>
      <w:r>
        <w:rPr>
          <w:spacing w:val="-7"/>
        </w:rPr>
        <w:t xml:space="preserve"> </w:t>
      </w:r>
      <w:r>
        <w:t>położonych na obszarze</w:t>
      </w:r>
      <w:r>
        <w:rPr>
          <w:u w:val="thick"/>
        </w:rPr>
        <w:t xml:space="preserve"> GMINY</w:t>
      </w:r>
      <w:r>
        <w:rPr>
          <w:spacing w:val="2"/>
          <w:u w:val="thick"/>
        </w:rPr>
        <w:t xml:space="preserve"> </w:t>
      </w:r>
      <w:r>
        <w:rPr>
          <w:u w:val="thick"/>
        </w:rPr>
        <w:t>KAŹMIERZ</w:t>
      </w:r>
    </w:p>
    <w:p w14:paraId="2220A868" w14:textId="77777777" w:rsidR="00703BB4" w:rsidRDefault="00F63123">
      <w:pPr>
        <w:spacing w:before="1"/>
        <w:ind w:left="961" w:right="131"/>
        <w:jc w:val="center"/>
        <w:rPr>
          <w:b/>
          <w:sz w:val="20"/>
        </w:rPr>
      </w:pPr>
      <w:r>
        <w:rPr>
          <w:b/>
          <w:sz w:val="20"/>
        </w:rPr>
        <w:t>(nazwa gminy lub dzielnicy lub określenie innej części gminy)</w:t>
      </w:r>
    </w:p>
    <w:p w14:paraId="59E957A0" w14:textId="77777777" w:rsidR="00703BB4" w:rsidRDefault="00703BB4">
      <w:pPr>
        <w:pStyle w:val="Tekstpodstawowy"/>
        <w:rPr>
          <w:b/>
          <w:sz w:val="22"/>
        </w:rPr>
      </w:pPr>
    </w:p>
    <w:p w14:paraId="67D377A7" w14:textId="77777777" w:rsidR="00703BB4" w:rsidRDefault="00703BB4">
      <w:pPr>
        <w:pStyle w:val="Tekstpodstawowy"/>
        <w:spacing w:before="1"/>
        <w:rPr>
          <w:b/>
          <w:sz w:val="18"/>
        </w:rPr>
      </w:pPr>
    </w:p>
    <w:p w14:paraId="36A23C67" w14:textId="77777777" w:rsidR="00703BB4" w:rsidRDefault="00F63123">
      <w:pPr>
        <w:pStyle w:val="Akapitzlist"/>
        <w:numPr>
          <w:ilvl w:val="0"/>
          <w:numId w:val="3"/>
        </w:numPr>
        <w:tabs>
          <w:tab w:val="left" w:pos="7214"/>
        </w:tabs>
        <w:ind w:hanging="289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I</w:t>
      </w:r>
      <w:r>
        <w:rPr>
          <w:rFonts w:ascii="Courier New" w:hAnsi="Courier New"/>
          <w:b/>
          <w:spacing w:val="-2"/>
          <w:sz w:val="16"/>
        </w:rPr>
        <w:t xml:space="preserve"> </w:t>
      </w:r>
      <w:r>
        <w:rPr>
          <w:rFonts w:ascii="Courier New" w:hAnsi="Courier New"/>
          <w:b/>
          <w:sz w:val="16"/>
        </w:rPr>
        <w:t>półrocze</w:t>
      </w:r>
    </w:p>
    <w:p w14:paraId="08F40321" w14:textId="77777777" w:rsidR="00703BB4" w:rsidRDefault="00703BB4">
      <w:pPr>
        <w:pStyle w:val="Tekstpodstawowy"/>
        <w:spacing w:before="1"/>
        <w:rPr>
          <w:rFonts w:ascii="Courier New"/>
          <w:b/>
          <w:sz w:val="16"/>
        </w:rPr>
      </w:pPr>
    </w:p>
    <w:tbl>
      <w:tblPr>
        <w:tblStyle w:val="TableNormal"/>
        <w:tblW w:w="0" w:type="auto"/>
        <w:tblInd w:w="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31"/>
        <w:gridCol w:w="1097"/>
        <w:gridCol w:w="895"/>
        <w:gridCol w:w="1005"/>
        <w:gridCol w:w="979"/>
        <w:gridCol w:w="1044"/>
        <w:gridCol w:w="1020"/>
        <w:gridCol w:w="1003"/>
        <w:gridCol w:w="1013"/>
        <w:gridCol w:w="1020"/>
        <w:gridCol w:w="1020"/>
      </w:tblGrid>
      <w:tr w:rsidR="00703BB4" w14:paraId="78D8DE27" w14:textId="77777777">
        <w:trPr>
          <w:trHeight w:val="361"/>
        </w:trPr>
        <w:tc>
          <w:tcPr>
            <w:tcW w:w="12845" w:type="dxa"/>
            <w:gridSpan w:val="12"/>
          </w:tcPr>
          <w:p w14:paraId="1428B5F3" w14:textId="77777777" w:rsidR="00703BB4" w:rsidRDefault="00F63123">
            <w:pPr>
              <w:pStyle w:val="TableParagraph"/>
              <w:spacing w:line="180" w:lineRule="exact"/>
              <w:ind w:left="3989" w:right="39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Stawki czynszu za 1 m</w:t>
            </w:r>
            <w:r>
              <w:rPr>
                <w:b/>
                <w:position w:val="4"/>
                <w:sz w:val="10"/>
              </w:rPr>
              <w:t xml:space="preserve">2 </w:t>
            </w:r>
            <w:r>
              <w:rPr>
                <w:b/>
                <w:sz w:val="16"/>
              </w:rPr>
              <w:t>powierzchni użytkowej lokalu</w:t>
            </w:r>
          </w:p>
        </w:tc>
      </w:tr>
      <w:tr w:rsidR="00703BB4" w14:paraId="712F7E06" w14:textId="77777777">
        <w:trPr>
          <w:trHeight w:val="361"/>
        </w:trPr>
        <w:tc>
          <w:tcPr>
            <w:tcW w:w="1618" w:type="dxa"/>
            <w:vMerge w:val="restart"/>
          </w:tcPr>
          <w:p w14:paraId="32CF64D2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595BA06F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B269B7E" w14:textId="77777777" w:rsidR="00703BB4" w:rsidRDefault="00F63123">
            <w:pPr>
              <w:pStyle w:val="TableParagraph"/>
              <w:spacing w:before="1"/>
              <w:ind w:left="516" w:right="202" w:hanging="288"/>
              <w:rPr>
                <w:sz w:val="16"/>
              </w:rPr>
            </w:pPr>
            <w:r>
              <w:rPr>
                <w:sz w:val="16"/>
              </w:rPr>
              <w:t>Powierzchnia lokalu</w:t>
            </w:r>
          </w:p>
        </w:tc>
        <w:tc>
          <w:tcPr>
            <w:tcW w:w="1131" w:type="dxa"/>
            <w:vMerge w:val="restart"/>
          </w:tcPr>
          <w:p w14:paraId="0327EA19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2D4C72D6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8DE4699" w14:textId="77777777" w:rsidR="00703BB4" w:rsidRDefault="00F63123">
            <w:pPr>
              <w:pStyle w:val="TableParagraph"/>
              <w:spacing w:before="1"/>
              <w:ind w:left="268" w:right="155" w:hanging="96"/>
              <w:rPr>
                <w:sz w:val="16"/>
              </w:rPr>
            </w:pPr>
            <w:r>
              <w:rPr>
                <w:sz w:val="16"/>
              </w:rPr>
              <w:t>Standard lokalu</w:t>
            </w:r>
          </w:p>
        </w:tc>
        <w:tc>
          <w:tcPr>
            <w:tcW w:w="10096" w:type="dxa"/>
            <w:gridSpan w:val="10"/>
          </w:tcPr>
          <w:p w14:paraId="324737AC" w14:textId="77777777" w:rsidR="00703BB4" w:rsidRDefault="00F63123">
            <w:pPr>
              <w:pStyle w:val="TableParagraph"/>
              <w:spacing w:before="1"/>
              <w:ind w:left="615"/>
              <w:rPr>
                <w:sz w:val="16"/>
              </w:rPr>
            </w:pPr>
            <w:r>
              <w:rPr>
                <w:sz w:val="16"/>
              </w:rPr>
              <w:t>Budynek wybudowany w latach, przy uwzględnieniu jego stanu technicznego</w:t>
            </w:r>
          </w:p>
        </w:tc>
      </w:tr>
      <w:tr w:rsidR="00703BB4" w14:paraId="2757EF91" w14:textId="77777777">
        <w:trPr>
          <w:trHeight w:val="544"/>
        </w:trPr>
        <w:tc>
          <w:tcPr>
            <w:tcW w:w="1618" w:type="dxa"/>
            <w:vMerge/>
            <w:tcBorders>
              <w:top w:val="nil"/>
            </w:tcBorders>
          </w:tcPr>
          <w:p w14:paraId="4602A364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6E430CDD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</w:tcPr>
          <w:p w14:paraId="1D517CD0" w14:textId="77777777" w:rsidR="00703BB4" w:rsidRDefault="00F63123"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do 1918 r.</w:t>
            </w:r>
          </w:p>
        </w:tc>
        <w:tc>
          <w:tcPr>
            <w:tcW w:w="1984" w:type="dxa"/>
            <w:gridSpan w:val="2"/>
          </w:tcPr>
          <w:p w14:paraId="5A2DFB39" w14:textId="77777777" w:rsidR="00703BB4" w:rsidRDefault="00F63123">
            <w:pPr>
              <w:pStyle w:val="TableParagraph"/>
              <w:spacing w:before="1"/>
              <w:ind w:left="654"/>
              <w:rPr>
                <w:sz w:val="16"/>
              </w:rPr>
            </w:pPr>
            <w:r>
              <w:rPr>
                <w:sz w:val="16"/>
              </w:rPr>
              <w:t>1919-45</w:t>
            </w:r>
          </w:p>
        </w:tc>
        <w:tc>
          <w:tcPr>
            <w:tcW w:w="2064" w:type="dxa"/>
            <w:gridSpan w:val="2"/>
          </w:tcPr>
          <w:p w14:paraId="310B945F" w14:textId="77777777" w:rsidR="00703BB4" w:rsidRDefault="00F63123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1946-1970</w:t>
            </w:r>
          </w:p>
        </w:tc>
        <w:tc>
          <w:tcPr>
            <w:tcW w:w="2016" w:type="dxa"/>
            <w:gridSpan w:val="2"/>
          </w:tcPr>
          <w:p w14:paraId="2447D21C" w14:textId="77777777" w:rsidR="00703BB4" w:rsidRDefault="00F63123">
            <w:pPr>
              <w:pStyle w:val="TableParagraph"/>
              <w:spacing w:before="1"/>
              <w:ind w:left="574"/>
              <w:rPr>
                <w:sz w:val="16"/>
              </w:rPr>
            </w:pPr>
            <w:r>
              <w:rPr>
                <w:sz w:val="16"/>
              </w:rPr>
              <w:t>1971-2002</w:t>
            </w:r>
          </w:p>
        </w:tc>
        <w:tc>
          <w:tcPr>
            <w:tcW w:w="2040" w:type="dxa"/>
            <w:gridSpan w:val="2"/>
          </w:tcPr>
          <w:p w14:paraId="72544E97" w14:textId="77777777" w:rsidR="00703BB4" w:rsidRDefault="00F63123">
            <w:pPr>
              <w:pStyle w:val="TableParagraph"/>
              <w:spacing w:before="1"/>
              <w:ind w:left="541"/>
              <w:rPr>
                <w:sz w:val="16"/>
              </w:rPr>
            </w:pPr>
            <w:r>
              <w:rPr>
                <w:sz w:val="16"/>
              </w:rPr>
              <w:t>po 2002 r.</w:t>
            </w:r>
          </w:p>
        </w:tc>
      </w:tr>
      <w:tr w:rsidR="00703BB4" w14:paraId="2506EED2" w14:textId="77777777">
        <w:trPr>
          <w:trHeight w:val="361"/>
        </w:trPr>
        <w:tc>
          <w:tcPr>
            <w:tcW w:w="1618" w:type="dxa"/>
            <w:vMerge/>
            <w:tcBorders>
              <w:top w:val="nil"/>
            </w:tcBorders>
          </w:tcPr>
          <w:p w14:paraId="738E5920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36FE1D75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4DBCDCA8" w14:textId="77777777" w:rsidR="00703BB4" w:rsidRDefault="00F63123"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zły*</w:t>
            </w:r>
          </w:p>
        </w:tc>
        <w:tc>
          <w:tcPr>
            <w:tcW w:w="895" w:type="dxa"/>
          </w:tcPr>
          <w:p w14:paraId="6169F9FD" w14:textId="77777777" w:rsidR="00703BB4" w:rsidRDefault="00F63123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05" w:type="dxa"/>
          </w:tcPr>
          <w:p w14:paraId="39A83A66" w14:textId="77777777" w:rsidR="00703BB4" w:rsidRDefault="00F63123">
            <w:pPr>
              <w:pStyle w:val="TableParagraph"/>
              <w:spacing w:before="1"/>
              <w:ind w:left="336" w:right="324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979" w:type="dxa"/>
          </w:tcPr>
          <w:p w14:paraId="05D52C95" w14:textId="77777777" w:rsidR="00703BB4" w:rsidRDefault="00F63123"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44" w:type="dxa"/>
          </w:tcPr>
          <w:p w14:paraId="5E1BF538" w14:textId="77777777" w:rsidR="00703BB4" w:rsidRDefault="00F63123">
            <w:pPr>
              <w:pStyle w:val="TableParagraph"/>
              <w:spacing w:before="1"/>
              <w:ind w:left="356" w:right="343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20" w:type="dxa"/>
          </w:tcPr>
          <w:p w14:paraId="719B3BCF" w14:textId="77777777" w:rsidR="00703BB4" w:rsidRDefault="00F63123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03" w:type="dxa"/>
          </w:tcPr>
          <w:p w14:paraId="6B526590" w14:textId="77777777" w:rsidR="00703BB4" w:rsidRDefault="00F63123">
            <w:pPr>
              <w:pStyle w:val="TableParagraph"/>
              <w:spacing w:before="1"/>
              <w:ind w:left="335" w:right="323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13" w:type="dxa"/>
          </w:tcPr>
          <w:p w14:paraId="530F3EC5" w14:textId="77777777" w:rsidR="00703BB4" w:rsidRDefault="00F6312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20" w:type="dxa"/>
          </w:tcPr>
          <w:p w14:paraId="0AE7F658" w14:textId="77777777" w:rsidR="00703BB4" w:rsidRDefault="00F63123">
            <w:pPr>
              <w:pStyle w:val="TableParagraph"/>
              <w:spacing w:before="1"/>
              <w:ind w:left="341" w:right="326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20" w:type="dxa"/>
          </w:tcPr>
          <w:p w14:paraId="7FE23B39" w14:textId="77777777" w:rsidR="00703BB4" w:rsidRDefault="00F6312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</w:tr>
      <w:tr w:rsidR="00703BB4" w14:paraId="5DEBA98B" w14:textId="77777777">
        <w:trPr>
          <w:trHeight w:val="544"/>
        </w:trPr>
        <w:tc>
          <w:tcPr>
            <w:tcW w:w="1618" w:type="dxa"/>
            <w:vMerge w:val="restart"/>
          </w:tcPr>
          <w:p w14:paraId="1604C489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4FF471DE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6FC13108" w14:textId="77777777" w:rsidR="00703BB4" w:rsidRDefault="00F63123">
            <w:pPr>
              <w:pStyle w:val="TableParagraph"/>
              <w:spacing w:before="153"/>
              <w:ind w:left="198"/>
              <w:rPr>
                <w:sz w:val="10"/>
              </w:rPr>
            </w:pPr>
            <w:r>
              <w:rPr>
                <w:sz w:val="16"/>
              </w:rPr>
              <w:t>poniżej 40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31" w:type="dxa"/>
          </w:tcPr>
          <w:p w14:paraId="6182E283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097" w:type="dxa"/>
          </w:tcPr>
          <w:p w14:paraId="753896ED" w14:textId="77777777" w:rsidR="00703BB4" w:rsidRDefault="00F63123"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1)**...</w:t>
            </w:r>
          </w:p>
          <w:p w14:paraId="1702EC0D" w14:textId="77777777" w:rsidR="00703BB4" w:rsidRDefault="00F63123"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...,</w:t>
            </w:r>
          </w:p>
        </w:tc>
        <w:tc>
          <w:tcPr>
            <w:tcW w:w="895" w:type="dxa"/>
          </w:tcPr>
          <w:p w14:paraId="66265C3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68AC1A8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2D8336A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DD4EE6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CC9B1D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30B769B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75F02E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2FDEEB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2BCBEA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D50D7F6" w14:textId="77777777">
        <w:trPr>
          <w:trHeight w:val="361"/>
        </w:trPr>
        <w:tc>
          <w:tcPr>
            <w:tcW w:w="1618" w:type="dxa"/>
            <w:vMerge/>
            <w:tcBorders>
              <w:top w:val="nil"/>
            </w:tcBorders>
          </w:tcPr>
          <w:p w14:paraId="34D42A44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4A663457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097" w:type="dxa"/>
          </w:tcPr>
          <w:p w14:paraId="4DF2CBF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686AA5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74120D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894FD1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56BD5AC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95069D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5CF87BD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3B4168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ED081E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014140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58BE3AEC" w14:textId="77777777">
        <w:trPr>
          <w:trHeight w:val="364"/>
        </w:trPr>
        <w:tc>
          <w:tcPr>
            <w:tcW w:w="1618" w:type="dxa"/>
            <w:vMerge/>
            <w:tcBorders>
              <w:top w:val="nil"/>
            </w:tcBorders>
          </w:tcPr>
          <w:p w14:paraId="1179D189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09682E18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097" w:type="dxa"/>
          </w:tcPr>
          <w:p w14:paraId="7CBD007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9C7ECC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05D4ACB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4AF301D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679B27C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6526C8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631AC32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4BD5A8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F47B39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CC1253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748CC5AE" w14:textId="77777777">
        <w:trPr>
          <w:trHeight w:val="361"/>
        </w:trPr>
        <w:tc>
          <w:tcPr>
            <w:tcW w:w="1618" w:type="dxa"/>
            <w:tcBorders>
              <w:bottom w:val="nil"/>
            </w:tcBorders>
          </w:tcPr>
          <w:p w14:paraId="14E75E8E" w14:textId="77777777" w:rsidR="00703BB4" w:rsidRDefault="00F63123">
            <w:pPr>
              <w:pStyle w:val="TableParagraph"/>
              <w:spacing w:before="1"/>
              <w:ind w:left="295"/>
              <w:rPr>
                <w:sz w:val="16"/>
              </w:rPr>
            </w:pPr>
            <w:r>
              <w:rPr>
                <w:sz w:val="16"/>
              </w:rPr>
              <w:t>40 m</w:t>
            </w:r>
            <w:r>
              <w:rPr>
                <w:position w:val="5"/>
                <w:sz w:val="10"/>
              </w:rPr>
              <w:t xml:space="preserve">2 </w:t>
            </w:r>
            <w:r>
              <w:rPr>
                <w:sz w:val="16"/>
              </w:rPr>
              <w:t>do 60</w:t>
            </w:r>
          </w:p>
        </w:tc>
        <w:tc>
          <w:tcPr>
            <w:tcW w:w="1131" w:type="dxa"/>
          </w:tcPr>
          <w:p w14:paraId="0B2339DE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097" w:type="dxa"/>
          </w:tcPr>
          <w:p w14:paraId="616FA9A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13CD3C4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38D140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64633E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E41D2D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E42B5E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404A694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1B52E9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EC85AD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7521F7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14BECE7" w14:textId="77777777">
        <w:trPr>
          <w:trHeight w:val="361"/>
        </w:trPr>
        <w:tc>
          <w:tcPr>
            <w:tcW w:w="1618" w:type="dxa"/>
            <w:tcBorders>
              <w:top w:val="nil"/>
              <w:bottom w:val="nil"/>
            </w:tcBorders>
          </w:tcPr>
          <w:p w14:paraId="578894AD" w14:textId="77777777" w:rsidR="00703BB4" w:rsidRDefault="00F63123">
            <w:pPr>
              <w:pStyle w:val="TableParagraph"/>
              <w:ind w:left="178" w:right="170"/>
              <w:jc w:val="center"/>
              <w:rPr>
                <w:sz w:val="10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31" w:type="dxa"/>
          </w:tcPr>
          <w:p w14:paraId="2DBCA36A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097" w:type="dxa"/>
          </w:tcPr>
          <w:p w14:paraId="38D5E8E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155E0F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6A4D3F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C63F82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233E48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BD3129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7B7E0FB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E2EA56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E8CD91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C71B57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EAB289D" w14:textId="77777777">
        <w:trPr>
          <w:trHeight w:val="364"/>
        </w:trPr>
        <w:tc>
          <w:tcPr>
            <w:tcW w:w="1618" w:type="dxa"/>
            <w:tcBorders>
              <w:top w:val="nil"/>
            </w:tcBorders>
          </w:tcPr>
          <w:p w14:paraId="58CC1CC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2977F2DB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097" w:type="dxa"/>
          </w:tcPr>
          <w:p w14:paraId="79AC793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8B36C5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650A13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1E45CA1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666D20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193880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73D5F3D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1F9737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9D0C60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94A9E6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1662E03E" w14:textId="77777777">
        <w:trPr>
          <w:trHeight w:val="362"/>
        </w:trPr>
        <w:tc>
          <w:tcPr>
            <w:tcW w:w="1618" w:type="dxa"/>
            <w:tcBorders>
              <w:bottom w:val="nil"/>
            </w:tcBorders>
          </w:tcPr>
          <w:p w14:paraId="7741D10B" w14:textId="77777777" w:rsidR="00703BB4" w:rsidRDefault="00F63123">
            <w:pPr>
              <w:pStyle w:val="TableParagraph"/>
              <w:spacing w:line="180" w:lineRule="exact"/>
              <w:ind w:left="178" w:right="171"/>
              <w:jc w:val="center"/>
              <w:rPr>
                <w:sz w:val="10"/>
              </w:rPr>
            </w:pPr>
            <w:r>
              <w:rPr>
                <w:sz w:val="16"/>
              </w:rPr>
              <w:t>powyżej 60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31" w:type="dxa"/>
          </w:tcPr>
          <w:p w14:paraId="32FD942C" w14:textId="77777777" w:rsidR="00703BB4" w:rsidRDefault="00F63123">
            <w:pPr>
              <w:pStyle w:val="TableParagraph"/>
              <w:spacing w:line="180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097" w:type="dxa"/>
          </w:tcPr>
          <w:p w14:paraId="452A3B8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03A278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20A063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659DF02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712236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DE4816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124530C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36BF18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F1E396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58C674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6CCE8B26" w14:textId="77777777">
        <w:trPr>
          <w:trHeight w:val="361"/>
        </w:trPr>
        <w:tc>
          <w:tcPr>
            <w:tcW w:w="1618" w:type="dxa"/>
            <w:tcBorders>
              <w:top w:val="nil"/>
              <w:bottom w:val="nil"/>
            </w:tcBorders>
          </w:tcPr>
          <w:p w14:paraId="6A416F01" w14:textId="77777777" w:rsidR="00703BB4" w:rsidRDefault="00F63123">
            <w:pPr>
              <w:pStyle w:val="TableParagraph"/>
              <w:spacing w:before="1"/>
              <w:ind w:left="178" w:right="170"/>
              <w:jc w:val="center"/>
              <w:rPr>
                <w:sz w:val="10"/>
              </w:rPr>
            </w:pPr>
            <w:r>
              <w:rPr>
                <w:sz w:val="16"/>
              </w:rPr>
              <w:t>do 80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31" w:type="dxa"/>
          </w:tcPr>
          <w:p w14:paraId="6B4C7A50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097" w:type="dxa"/>
          </w:tcPr>
          <w:p w14:paraId="6FFD400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18F2FA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D23058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3982EA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042033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F81892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37777DE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E25CD7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B49856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E8EF15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899BED7" w14:textId="77777777">
        <w:trPr>
          <w:trHeight w:val="364"/>
        </w:trPr>
        <w:tc>
          <w:tcPr>
            <w:tcW w:w="1618" w:type="dxa"/>
            <w:tcBorders>
              <w:top w:val="nil"/>
            </w:tcBorders>
          </w:tcPr>
          <w:p w14:paraId="4ABD0F2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51FAA5EE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097" w:type="dxa"/>
          </w:tcPr>
          <w:p w14:paraId="17BC6AB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32578EE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64112CB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01EE818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35EB6E8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3FC3F7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1F1C4DF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BE8C9D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C94ECC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84CE27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6664AE19" w14:textId="77777777">
        <w:trPr>
          <w:trHeight w:val="361"/>
        </w:trPr>
        <w:tc>
          <w:tcPr>
            <w:tcW w:w="1618" w:type="dxa"/>
            <w:vMerge w:val="restart"/>
          </w:tcPr>
          <w:p w14:paraId="0D3AE107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26D76F62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D8D207" w14:textId="77777777" w:rsidR="00703BB4" w:rsidRDefault="00F63123">
            <w:pPr>
              <w:pStyle w:val="TableParagraph"/>
              <w:spacing w:before="1"/>
              <w:ind w:left="198"/>
              <w:rPr>
                <w:sz w:val="10"/>
              </w:rPr>
            </w:pPr>
            <w:r>
              <w:rPr>
                <w:sz w:val="16"/>
              </w:rPr>
              <w:t>powyżej 80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31" w:type="dxa"/>
          </w:tcPr>
          <w:p w14:paraId="65FE1EB2" w14:textId="77777777" w:rsidR="00703BB4" w:rsidRDefault="00F63123">
            <w:pPr>
              <w:pStyle w:val="TableParagraph"/>
              <w:spacing w:line="180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097" w:type="dxa"/>
          </w:tcPr>
          <w:p w14:paraId="60EC8FC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6E55459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585CCDA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B4AB19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B8D09C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CBE3D8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594AB96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2B7BD8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DED8E7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D80846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FD1798D" w14:textId="77777777">
        <w:trPr>
          <w:trHeight w:val="361"/>
        </w:trPr>
        <w:tc>
          <w:tcPr>
            <w:tcW w:w="1618" w:type="dxa"/>
            <w:vMerge/>
            <w:tcBorders>
              <w:top w:val="nil"/>
            </w:tcBorders>
          </w:tcPr>
          <w:p w14:paraId="3F77DBE2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743B4F08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097" w:type="dxa"/>
          </w:tcPr>
          <w:p w14:paraId="2253CF4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442D97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39C7BF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54BE01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7AE0786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078853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7A9AD7C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1540C5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06A179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1178EE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BD1A5A5" w14:textId="77777777">
        <w:trPr>
          <w:trHeight w:val="364"/>
        </w:trPr>
        <w:tc>
          <w:tcPr>
            <w:tcW w:w="1618" w:type="dxa"/>
            <w:vMerge/>
            <w:tcBorders>
              <w:top w:val="nil"/>
            </w:tcBorders>
          </w:tcPr>
          <w:p w14:paraId="1230DD08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14:paraId="779C4854" w14:textId="77777777" w:rsidR="00703BB4" w:rsidRDefault="00F63123">
            <w:pPr>
              <w:pStyle w:val="TableParagraph"/>
              <w:spacing w:before="1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097" w:type="dxa"/>
          </w:tcPr>
          <w:p w14:paraId="418FC93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4426D87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14BEBE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8A5FB7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2AD22C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71C139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</w:tcPr>
          <w:p w14:paraId="2B2980B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23CEBE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6324EC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3046CD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CC5D86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2F2C8219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5987B732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468BE942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008058A1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56D4CF2F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3D1D2ED8" w14:textId="77777777" w:rsidR="00703BB4" w:rsidRDefault="00703BB4">
      <w:pPr>
        <w:pStyle w:val="Tekstpodstawowy"/>
        <w:spacing w:before="9"/>
        <w:rPr>
          <w:rFonts w:ascii="Courier New"/>
          <w:b/>
          <w:sz w:val="17"/>
        </w:rPr>
      </w:pPr>
    </w:p>
    <w:p w14:paraId="239AE192" w14:textId="77777777" w:rsidR="00703BB4" w:rsidRDefault="00F63123">
      <w:pPr>
        <w:pStyle w:val="Tekstpodstawowy"/>
        <w:tabs>
          <w:tab w:val="left" w:pos="679"/>
        </w:tabs>
        <w:spacing w:line="229" w:lineRule="exact"/>
        <w:ind w:left="111"/>
      </w:pPr>
      <w:r>
        <w:t>A</w:t>
      </w:r>
      <w:r>
        <w:rPr>
          <w:spacing w:val="-3"/>
        </w:rPr>
        <w:t xml:space="preserve"> </w:t>
      </w:r>
      <w:r>
        <w:t>-</w:t>
      </w:r>
      <w:r>
        <w:tab/>
      </w:r>
      <w:r>
        <w:t>standard wysoki (wyposażenie w instalację centralnego ogrzewania oraz korzystna lokalizacja</w:t>
      </w:r>
      <w:r>
        <w:rPr>
          <w:spacing w:val="-12"/>
        </w:rPr>
        <w:t xml:space="preserve"> </w:t>
      </w:r>
      <w:r>
        <w:t>budynku)</w:t>
      </w:r>
    </w:p>
    <w:p w14:paraId="07CC745C" w14:textId="77777777" w:rsidR="00703BB4" w:rsidRDefault="00F63123">
      <w:pPr>
        <w:pStyle w:val="Tekstpodstawowy"/>
        <w:tabs>
          <w:tab w:val="left" w:pos="679"/>
        </w:tabs>
        <w:ind w:left="111" w:right="471"/>
      </w:pPr>
      <w:r>
        <w:t>B</w:t>
      </w:r>
      <w:r>
        <w:rPr>
          <w:spacing w:val="-3"/>
        </w:rPr>
        <w:t xml:space="preserve"> </w:t>
      </w:r>
      <w:r>
        <w:t>-</w:t>
      </w:r>
      <w:r>
        <w:tab/>
        <w:t>standard średni (wyposażenie w instalację centralnego ogrzewania, ale niekorzystna lokalizacja budynku lub brak instalacji centralnego ogrzewania) C</w:t>
      </w:r>
      <w:r>
        <w:rPr>
          <w:spacing w:val="-2"/>
        </w:rPr>
        <w:t xml:space="preserve"> </w:t>
      </w:r>
      <w:r>
        <w:t>-</w:t>
      </w:r>
      <w:r>
        <w:tab/>
      </w:r>
      <w:r>
        <w:t>standard niski (brak instalacji</w:t>
      </w:r>
      <w:r>
        <w:rPr>
          <w:spacing w:val="-3"/>
        </w:rPr>
        <w:t xml:space="preserve"> </w:t>
      </w:r>
      <w:r>
        <w:t>wodociągowo-kanalizacyjnej)</w:t>
      </w:r>
    </w:p>
    <w:p w14:paraId="4998AA7D" w14:textId="77777777" w:rsidR="00703BB4" w:rsidRDefault="00F63123">
      <w:pPr>
        <w:pStyle w:val="Tekstpodstawowy"/>
        <w:tabs>
          <w:tab w:val="left" w:pos="679"/>
        </w:tabs>
        <w:ind w:left="111"/>
      </w:pPr>
      <w:r>
        <w:t>*</w:t>
      </w:r>
      <w:r>
        <w:rPr>
          <w:spacing w:val="-3"/>
        </w:rPr>
        <w:t xml:space="preserve"> </w:t>
      </w:r>
      <w:r>
        <w:t>-</w:t>
      </w:r>
      <w:r>
        <w:tab/>
        <w:t>budynek wymaga</w:t>
      </w:r>
      <w:r>
        <w:rPr>
          <w:spacing w:val="-1"/>
        </w:rPr>
        <w:t xml:space="preserve"> </w:t>
      </w:r>
      <w:r>
        <w:t>remontu</w:t>
      </w:r>
    </w:p>
    <w:p w14:paraId="00D158AD" w14:textId="77777777" w:rsidR="00703BB4" w:rsidRDefault="00F63123">
      <w:pPr>
        <w:pStyle w:val="Akapitzlist"/>
        <w:numPr>
          <w:ilvl w:val="0"/>
          <w:numId w:val="2"/>
        </w:numPr>
        <w:tabs>
          <w:tab w:val="left" w:pos="290"/>
          <w:tab w:val="left" w:pos="679"/>
        </w:tabs>
        <w:spacing w:before="1"/>
        <w:jc w:val="left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stawka czynszu najniższa; średnia z najniższych stawek w przypadku większej liczby</w:t>
      </w:r>
      <w:r>
        <w:rPr>
          <w:spacing w:val="-10"/>
          <w:sz w:val="20"/>
        </w:rPr>
        <w:t xml:space="preserve"> </w:t>
      </w:r>
      <w:r>
        <w:rPr>
          <w:sz w:val="20"/>
        </w:rPr>
        <w:t>stawek</w:t>
      </w:r>
    </w:p>
    <w:p w14:paraId="7A43A176" w14:textId="77777777" w:rsidR="00703BB4" w:rsidRDefault="00F63123">
      <w:pPr>
        <w:pStyle w:val="Akapitzlist"/>
        <w:numPr>
          <w:ilvl w:val="0"/>
          <w:numId w:val="2"/>
        </w:numPr>
        <w:tabs>
          <w:tab w:val="left" w:pos="679"/>
          <w:tab w:val="left" w:pos="680"/>
        </w:tabs>
        <w:ind w:left="680" w:hanging="428"/>
        <w:jc w:val="left"/>
        <w:rPr>
          <w:sz w:val="20"/>
        </w:rPr>
      </w:pPr>
      <w:r>
        <w:rPr>
          <w:sz w:val="20"/>
        </w:rPr>
        <w:t xml:space="preserve">stawka czynszu najwyższa; średnia z najwyższych stawek w przypadku większej </w:t>
      </w:r>
      <w:r>
        <w:rPr>
          <w:sz w:val="20"/>
        </w:rPr>
        <w:t>liczby</w:t>
      </w:r>
      <w:r>
        <w:rPr>
          <w:spacing w:val="-10"/>
          <w:sz w:val="20"/>
        </w:rPr>
        <w:t xml:space="preserve"> </w:t>
      </w:r>
      <w:r>
        <w:rPr>
          <w:sz w:val="20"/>
        </w:rPr>
        <w:t>stawek</w:t>
      </w:r>
    </w:p>
    <w:p w14:paraId="0F962A0D" w14:textId="77777777" w:rsidR="00703BB4" w:rsidRDefault="00703BB4">
      <w:pPr>
        <w:rPr>
          <w:sz w:val="20"/>
        </w:rPr>
        <w:sectPr w:rsidR="00703BB4">
          <w:type w:val="continuous"/>
          <w:pgSz w:w="15840" w:h="12240" w:orient="landscape"/>
          <w:pgMar w:top="680" w:right="1180" w:bottom="280" w:left="400" w:header="708" w:footer="708" w:gutter="0"/>
          <w:cols w:space="708"/>
        </w:sectPr>
      </w:pPr>
    </w:p>
    <w:p w14:paraId="0ED7EF3F" w14:textId="77777777" w:rsidR="00703BB4" w:rsidRDefault="00F63123">
      <w:pPr>
        <w:pStyle w:val="Nagwek1"/>
        <w:tabs>
          <w:tab w:val="left" w:pos="13845"/>
        </w:tabs>
        <w:spacing w:before="68"/>
        <w:ind w:left="941" w:right="102"/>
      </w:pPr>
      <w:r>
        <w:lastRenderedPageBreak/>
        <w:t>Zestawienie danych dotyczących czynszów najmu lokali mieszkalnych nienależących do publicznego zasobu</w:t>
      </w:r>
      <w:r>
        <w:rPr>
          <w:spacing w:val="-31"/>
        </w:rPr>
        <w:t xml:space="preserve"> </w:t>
      </w:r>
      <w:r>
        <w:t>mieszkaniowego</w:t>
      </w:r>
      <w:r>
        <w:rPr>
          <w:spacing w:val="-4"/>
        </w:rPr>
        <w:t xml:space="preserve"> </w:t>
      </w:r>
      <w:r>
        <w:t>za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7"/>
          <w:u w:val="thick"/>
        </w:rPr>
        <w:t>rok</w:t>
      </w:r>
      <w:r>
        <w:rPr>
          <w:spacing w:val="-7"/>
        </w:rPr>
        <w:t xml:space="preserve"> </w:t>
      </w:r>
      <w:r>
        <w:t>położonych na obszarze</w:t>
      </w:r>
      <w:r>
        <w:rPr>
          <w:u w:val="thick"/>
        </w:rPr>
        <w:t xml:space="preserve"> GMINY</w:t>
      </w:r>
      <w:r>
        <w:rPr>
          <w:spacing w:val="2"/>
          <w:u w:val="thick"/>
        </w:rPr>
        <w:t xml:space="preserve"> </w:t>
      </w:r>
      <w:r>
        <w:rPr>
          <w:u w:val="thick"/>
        </w:rPr>
        <w:t>KAŹMIERZ</w:t>
      </w:r>
    </w:p>
    <w:p w14:paraId="0D01F20C" w14:textId="77777777" w:rsidR="00703BB4" w:rsidRDefault="00F63123">
      <w:pPr>
        <w:spacing w:before="1"/>
        <w:ind w:left="961" w:right="131"/>
        <w:jc w:val="center"/>
        <w:rPr>
          <w:b/>
          <w:sz w:val="20"/>
        </w:rPr>
      </w:pPr>
      <w:r>
        <w:rPr>
          <w:b/>
          <w:sz w:val="20"/>
        </w:rPr>
        <w:t>(nazwa gminy lub dzielnicy lub określenie innej części gminy)</w:t>
      </w:r>
    </w:p>
    <w:p w14:paraId="1EAF65A4" w14:textId="77777777" w:rsidR="00703BB4" w:rsidRDefault="00703BB4">
      <w:pPr>
        <w:pStyle w:val="Tekstpodstawowy"/>
        <w:rPr>
          <w:b/>
          <w:sz w:val="24"/>
        </w:rPr>
      </w:pPr>
    </w:p>
    <w:p w14:paraId="49DB0FA8" w14:textId="77777777" w:rsidR="00703BB4" w:rsidRDefault="00F63123">
      <w:pPr>
        <w:pStyle w:val="Akapitzlist"/>
        <w:numPr>
          <w:ilvl w:val="0"/>
          <w:numId w:val="3"/>
        </w:numPr>
        <w:tabs>
          <w:tab w:val="left" w:pos="7164"/>
        </w:tabs>
        <w:ind w:left="7163" w:hanging="289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II</w:t>
      </w:r>
      <w:r>
        <w:rPr>
          <w:rFonts w:ascii="Courier New" w:hAnsi="Courier New"/>
          <w:b/>
          <w:spacing w:val="-2"/>
          <w:sz w:val="16"/>
        </w:rPr>
        <w:t xml:space="preserve"> </w:t>
      </w:r>
      <w:r>
        <w:rPr>
          <w:rFonts w:ascii="Courier New" w:hAnsi="Courier New"/>
          <w:b/>
          <w:sz w:val="16"/>
        </w:rPr>
        <w:t>półrocze</w:t>
      </w:r>
    </w:p>
    <w:p w14:paraId="73F47A04" w14:textId="77777777" w:rsidR="00703BB4" w:rsidRDefault="00703BB4">
      <w:pPr>
        <w:pStyle w:val="Tekstpodstawowy"/>
        <w:spacing w:before="1"/>
        <w:rPr>
          <w:rFonts w:ascii="Courier New"/>
          <w:b/>
          <w:sz w:val="16"/>
        </w:rPr>
      </w:pPr>
    </w:p>
    <w:tbl>
      <w:tblPr>
        <w:tblStyle w:val="TableNormal"/>
        <w:tblW w:w="0" w:type="auto"/>
        <w:tblInd w:w="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124"/>
        <w:gridCol w:w="1200"/>
        <w:gridCol w:w="828"/>
        <w:gridCol w:w="996"/>
        <w:gridCol w:w="1020"/>
        <w:gridCol w:w="1013"/>
        <w:gridCol w:w="1013"/>
        <w:gridCol w:w="1020"/>
        <w:gridCol w:w="1023"/>
        <w:gridCol w:w="1020"/>
        <w:gridCol w:w="967"/>
      </w:tblGrid>
      <w:tr w:rsidR="00703BB4" w14:paraId="03AFB3C0" w14:textId="77777777">
        <w:trPr>
          <w:trHeight w:val="361"/>
        </w:trPr>
        <w:tc>
          <w:tcPr>
            <w:tcW w:w="12876" w:type="dxa"/>
            <w:gridSpan w:val="12"/>
          </w:tcPr>
          <w:p w14:paraId="04F9F16E" w14:textId="77777777" w:rsidR="00703BB4" w:rsidRDefault="00F63123">
            <w:pPr>
              <w:pStyle w:val="TableParagraph"/>
              <w:spacing w:before="1"/>
              <w:ind w:left="4001" w:right="39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Stawki czynszu za 1 m</w:t>
            </w:r>
            <w:r>
              <w:rPr>
                <w:b/>
                <w:position w:val="4"/>
                <w:sz w:val="10"/>
              </w:rPr>
              <w:t xml:space="preserve">2 </w:t>
            </w:r>
            <w:r>
              <w:rPr>
                <w:b/>
                <w:sz w:val="16"/>
              </w:rPr>
              <w:t>powierzchni użytkowej lokalu</w:t>
            </w:r>
          </w:p>
        </w:tc>
      </w:tr>
      <w:tr w:rsidR="00703BB4" w14:paraId="0F66A651" w14:textId="77777777">
        <w:trPr>
          <w:trHeight w:val="364"/>
        </w:trPr>
        <w:tc>
          <w:tcPr>
            <w:tcW w:w="1652" w:type="dxa"/>
            <w:vMerge w:val="restart"/>
          </w:tcPr>
          <w:p w14:paraId="068F755D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4896357F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58F1244" w14:textId="77777777" w:rsidR="00703BB4" w:rsidRDefault="00F63123">
            <w:pPr>
              <w:pStyle w:val="TableParagraph"/>
              <w:spacing w:before="1"/>
              <w:ind w:left="530" w:right="222" w:hanging="288"/>
              <w:rPr>
                <w:sz w:val="16"/>
              </w:rPr>
            </w:pPr>
            <w:r>
              <w:rPr>
                <w:sz w:val="16"/>
              </w:rPr>
              <w:t>Powierzchnia lokalu</w:t>
            </w:r>
          </w:p>
        </w:tc>
        <w:tc>
          <w:tcPr>
            <w:tcW w:w="1124" w:type="dxa"/>
            <w:vMerge w:val="restart"/>
          </w:tcPr>
          <w:p w14:paraId="1CBC9F56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0B39578C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1E05D44" w14:textId="77777777" w:rsidR="00703BB4" w:rsidRDefault="00F63123">
            <w:pPr>
              <w:pStyle w:val="TableParagraph"/>
              <w:spacing w:before="1"/>
              <w:ind w:left="263" w:right="153" w:hanging="96"/>
              <w:rPr>
                <w:sz w:val="16"/>
              </w:rPr>
            </w:pPr>
            <w:r>
              <w:rPr>
                <w:sz w:val="16"/>
              </w:rPr>
              <w:t>Standard lokalu</w:t>
            </w:r>
          </w:p>
        </w:tc>
        <w:tc>
          <w:tcPr>
            <w:tcW w:w="10100" w:type="dxa"/>
            <w:gridSpan w:val="10"/>
          </w:tcPr>
          <w:p w14:paraId="0766D784" w14:textId="77777777" w:rsidR="00703BB4" w:rsidRDefault="00F63123">
            <w:pPr>
              <w:pStyle w:val="TableParagraph"/>
              <w:spacing w:before="1"/>
              <w:ind w:left="1617" w:right="1610"/>
              <w:jc w:val="center"/>
              <w:rPr>
                <w:sz w:val="16"/>
              </w:rPr>
            </w:pPr>
            <w:r>
              <w:rPr>
                <w:sz w:val="16"/>
              </w:rPr>
              <w:t>Budynek wybudowany w latach, przy uwzględnieniu jego stanu technicznego</w:t>
            </w:r>
          </w:p>
        </w:tc>
      </w:tr>
      <w:tr w:rsidR="00703BB4" w14:paraId="400EBFA7" w14:textId="77777777">
        <w:trPr>
          <w:trHeight w:val="541"/>
        </w:trPr>
        <w:tc>
          <w:tcPr>
            <w:tcW w:w="1652" w:type="dxa"/>
            <w:vMerge/>
            <w:tcBorders>
              <w:top w:val="nil"/>
            </w:tcBorders>
          </w:tcPr>
          <w:p w14:paraId="70073037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5ED1900F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</w:tcPr>
          <w:p w14:paraId="289086D0" w14:textId="77777777" w:rsidR="00703BB4" w:rsidRDefault="00F63123">
            <w:pPr>
              <w:pStyle w:val="TableParagraph"/>
              <w:spacing w:line="180" w:lineRule="exact"/>
              <w:ind w:left="528"/>
              <w:rPr>
                <w:sz w:val="16"/>
              </w:rPr>
            </w:pPr>
            <w:r>
              <w:rPr>
                <w:sz w:val="16"/>
              </w:rPr>
              <w:t>do 1918 r.</w:t>
            </w:r>
          </w:p>
        </w:tc>
        <w:tc>
          <w:tcPr>
            <w:tcW w:w="2016" w:type="dxa"/>
            <w:gridSpan w:val="2"/>
          </w:tcPr>
          <w:p w14:paraId="4B909A9A" w14:textId="77777777" w:rsidR="00703BB4" w:rsidRDefault="00F63123">
            <w:pPr>
              <w:pStyle w:val="TableParagraph"/>
              <w:spacing w:line="180" w:lineRule="exact"/>
              <w:ind w:left="671"/>
              <w:rPr>
                <w:sz w:val="16"/>
              </w:rPr>
            </w:pPr>
            <w:r>
              <w:rPr>
                <w:sz w:val="16"/>
              </w:rPr>
              <w:t>1919-45</w:t>
            </w:r>
          </w:p>
        </w:tc>
        <w:tc>
          <w:tcPr>
            <w:tcW w:w="2026" w:type="dxa"/>
            <w:gridSpan w:val="2"/>
          </w:tcPr>
          <w:p w14:paraId="0587D2E7" w14:textId="77777777" w:rsidR="00703BB4" w:rsidRDefault="00F63123">
            <w:pPr>
              <w:pStyle w:val="TableParagraph"/>
              <w:spacing w:line="180" w:lineRule="exact"/>
              <w:ind w:left="577"/>
              <w:rPr>
                <w:sz w:val="16"/>
              </w:rPr>
            </w:pPr>
            <w:r>
              <w:rPr>
                <w:sz w:val="16"/>
              </w:rPr>
              <w:t>1946-1970</w:t>
            </w:r>
          </w:p>
        </w:tc>
        <w:tc>
          <w:tcPr>
            <w:tcW w:w="2043" w:type="dxa"/>
            <w:gridSpan w:val="2"/>
          </w:tcPr>
          <w:p w14:paraId="46B289EF" w14:textId="77777777" w:rsidR="00703BB4" w:rsidRDefault="00F63123">
            <w:pPr>
              <w:pStyle w:val="TableParagraph"/>
              <w:spacing w:line="180" w:lineRule="exact"/>
              <w:ind w:left="584"/>
              <w:rPr>
                <w:sz w:val="16"/>
              </w:rPr>
            </w:pPr>
            <w:r>
              <w:rPr>
                <w:sz w:val="16"/>
              </w:rPr>
              <w:t>1971-2002</w:t>
            </w:r>
          </w:p>
        </w:tc>
        <w:tc>
          <w:tcPr>
            <w:tcW w:w="1987" w:type="dxa"/>
            <w:gridSpan w:val="2"/>
          </w:tcPr>
          <w:p w14:paraId="4A62817F" w14:textId="77777777" w:rsidR="00703BB4" w:rsidRDefault="00F63123">
            <w:pPr>
              <w:pStyle w:val="TableParagraph"/>
              <w:spacing w:line="180" w:lineRule="exact"/>
              <w:ind w:left="510"/>
              <w:rPr>
                <w:sz w:val="16"/>
              </w:rPr>
            </w:pPr>
            <w:r>
              <w:rPr>
                <w:sz w:val="16"/>
              </w:rPr>
              <w:t>po 2002 r.</w:t>
            </w:r>
          </w:p>
        </w:tc>
      </w:tr>
      <w:tr w:rsidR="00703BB4" w14:paraId="327D3CFE" w14:textId="77777777">
        <w:trPr>
          <w:trHeight w:val="364"/>
        </w:trPr>
        <w:tc>
          <w:tcPr>
            <w:tcW w:w="1652" w:type="dxa"/>
            <w:vMerge/>
            <w:tcBorders>
              <w:top w:val="nil"/>
            </w:tcBorders>
          </w:tcPr>
          <w:p w14:paraId="10DB2D55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366CA2E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5967184E" w14:textId="77777777" w:rsidR="00703BB4" w:rsidRDefault="00F63123">
            <w:pPr>
              <w:pStyle w:val="TableParagraph"/>
              <w:spacing w:before="1"/>
              <w:ind w:left="383" w:right="376"/>
              <w:jc w:val="center"/>
              <w:rPr>
                <w:sz w:val="16"/>
              </w:rPr>
            </w:pPr>
            <w:r>
              <w:rPr>
                <w:sz w:val="16"/>
              </w:rPr>
              <w:t>zły*</w:t>
            </w:r>
          </w:p>
        </w:tc>
        <w:tc>
          <w:tcPr>
            <w:tcW w:w="828" w:type="dxa"/>
          </w:tcPr>
          <w:p w14:paraId="631C611E" w14:textId="77777777" w:rsidR="00703BB4" w:rsidRDefault="00F63123">
            <w:pPr>
              <w:pStyle w:val="TableParagraph"/>
              <w:spacing w:before="1"/>
              <w:ind w:left="171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996" w:type="dxa"/>
          </w:tcPr>
          <w:p w14:paraId="52C6B49B" w14:textId="77777777" w:rsidR="00703BB4" w:rsidRDefault="00F63123">
            <w:pPr>
              <w:pStyle w:val="TableParagraph"/>
              <w:spacing w:before="1"/>
              <w:ind w:left="331" w:right="321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20" w:type="dxa"/>
          </w:tcPr>
          <w:p w14:paraId="2C0B900D" w14:textId="77777777" w:rsidR="00703BB4" w:rsidRDefault="00F6312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13" w:type="dxa"/>
          </w:tcPr>
          <w:p w14:paraId="52A21239" w14:textId="77777777" w:rsidR="00703BB4" w:rsidRDefault="00F63123">
            <w:pPr>
              <w:pStyle w:val="TableParagraph"/>
              <w:spacing w:before="1"/>
              <w:ind w:left="339" w:right="330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13" w:type="dxa"/>
          </w:tcPr>
          <w:p w14:paraId="2EA1E3D5" w14:textId="77777777" w:rsidR="00703BB4" w:rsidRDefault="00F63123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20" w:type="dxa"/>
          </w:tcPr>
          <w:p w14:paraId="13AE3507" w14:textId="77777777" w:rsidR="00703BB4" w:rsidRDefault="00F63123">
            <w:pPr>
              <w:pStyle w:val="TableParagraph"/>
              <w:spacing w:before="1"/>
              <w:ind w:left="336" w:right="330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1023" w:type="dxa"/>
          </w:tcPr>
          <w:p w14:paraId="1D350E6F" w14:textId="77777777" w:rsidR="00703BB4" w:rsidRDefault="00F6312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  <w:tc>
          <w:tcPr>
            <w:tcW w:w="1020" w:type="dxa"/>
          </w:tcPr>
          <w:p w14:paraId="17777757" w14:textId="77777777" w:rsidR="00703BB4" w:rsidRDefault="00F63123">
            <w:pPr>
              <w:pStyle w:val="TableParagraph"/>
              <w:spacing w:before="1"/>
              <w:ind w:left="336" w:right="330"/>
              <w:jc w:val="center"/>
              <w:rPr>
                <w:sz w:val="16"/>
              </w:rPr>
            </w:pPr>
            <w:r>
              <w:rPr>
                <w:sz w:val="16"/>
              </w:rPr>
              <w:t>zły</w:t>
            </w:r>
          </w:p>
        </w:tc>
        <w:tc>
          <w:tcPr>
            <w:tcW w:w="967" w:type="dxa"/>
          </w:tcPr>
          <w:p w14:paraId="5D2A153A" w14:textId="77777777" w:rsidR="00703BB4" w:rsidRDefault="00F63123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z w:val="16"/>
              </w:rPr>
              <w:t>dobry</w:t>
            </w:r>
          </w:p>
        </w:tc>
      </w:tr>
      <w:tr w:rsidR="00703BB4" w14:paraId="1B721EC1" w14:textId="77777777">
        <w:trPr>
          <w:trHeight w:val="361"/>
        </w:trPr>
        <w:tc>
          <w:tcPr>
            <w:tcW w:w="1652" w:type="dxa"/>
            <w:vMerge w:val="restart"/>
          </w:tcPr>
          <w:p w14:paraId="0999BDD5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6A145AE2" w14:textId="77777777" w:rsidR="00703BB4" w:rsidRDefault="00703BB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EF8D62" w14:textId="77777777" w:rsidR="00703BB4" w:rsidRDefault="00F63123">
            <w:pPr>
              <w:pStyle w:val="TableParagraph"/>
              <w:ind w:left="213"/>
              <w:rPr>
                <w:sz w:val="10"/>
              </w:rPr>
            </w:pPr>
            <w:r>
              <w:rPr>
                <w:sz w:val="16"/>
              </w:rPr>
              <w:t>poniżej 40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24" w:type="dxa"/>
          </w:tcPr>
          <w:p w14:paraId="660FB70D" w14:textId="77777777" w:rsidR="00703BB4" w:rsidRDefault="00F63123">
            <w:pPr>
              <w:pStyle w:val="TableParagraph"/>
              <w:spacing w:line="180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0" w:type="dxa"/>
          </w:tcPr>
          <w:p w14:paraId="03EE4E6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841C53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3E37B0F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98DA3D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9D439D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DBBBDF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673131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17B0C82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3FB55B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C14F7C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600645C9" w14:textId="77777777">
        <w:trPr>
          <w:trHeight w:val="362"/>
        </w:trPr>
        <w:tc>
          <w:tcPr>
            <w:tcW w:w="1652" w:type="dxa"/>
            <w:vMerge/>
            <w:tcBorders>
              <w:top w:val="nil"/>
            </w:tcBorders>
          </w:tcPr>
          <w:p w14:paraId="041291F5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7760E30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00" w:type="dxa"/>
          </w:tcPr>
          <w:p w14:paraId="670B2B6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28C810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533DEFD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A27A55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DFF9D7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249301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CC74D0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4E301D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23CAC8C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3585908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76EDEAEF" w14:textId="77777777">
        <w:trPr>
          <w:trHeight w:val="364"/>
        </w:trPr>
        <w:tc>
          <w:tcPr>
            <w:tcW w:w="1652" w:type="dxa"/>
            <w:vMerge/>
            <w:tcBorders>
              <w:top w:val="nil"/>
            </w:tcBorders>
          </w:tcPr>
          <w:p w14:paraId="6BB01971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5DCCF3B1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00" w:type="dxa"/>
          </w:tcPr>
          <w:p w14:paraId="1AADC00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16AC36D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7BFAFD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FC9A29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35708D9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39F4E64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332CE0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F1741D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A4546F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EBF961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77852F04" w14:textId="77777777">
        <w:trPr>
          <w:trHeight w:val="361"/>
        </w:trPr>
        <w:tc>
          <w:tcPr>
            <w:tcW w:w="1652" w:type="dxa"/>
            <w:tcBorders>
              <w:bottom w:val="nil"/>
            </w:tcBorders>
          </w:tcPr>
          <w:p w14:paraId="205AD953" w14:textId="77777777" w:rsidR="00703BB4" w:rsidRDefault="00F63123">
            <w:pPr>
              <w:pStyle w:val="TableParagraph"/>
              <w:spacing w:line="180" w:lineRule="exact"/>
              <w:ind w:left="309"/>
              <w:rPr>
                <w:sz w:val="16"/>
              </w:rPr>
            </w:pPr>
            <w:r>
              <w:rPr>
                <w:sz w:val="16"/>
              </w:rPr>
              <w:t>40 m</w:t>
            </w:r>
            <w:r>
              <w:rPr>
                <w:position w:val="5"/>
                <w:sz w:val="10"/>
              </w:rPr>
              <w:t xml:space="preserve">2 </w:t>
            </w:r>
            <w:r>
              <w:rPr>
                <w:sz w:val="16"/>
              </w:rPr>
              <w:t>do 60</w:t>
            </w:r>
          </w:p>
        </w:tc>
        <w:tc>
          <w:tcPr>
            <w:tcW w:w="1124" w:type="dxa"/>
          </w:tcPr>
          <w:p w14:paraId="584FFA6D" w14:textId="77777777" w:rsidR="00703BB4" w:rsidRDefault="00F63123">
            <w:pPr>
              <w:pStyle w:val="TableParagraph"/>
              <w:spacing w:line="180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0" w:type="dxa"/>
          </w:tcPr>
          <w:p w14:paraId="0F47070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2E68DA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51D5639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25B420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1FFA3D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473C23A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9318EC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D3ECF1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D9C8A8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97BA56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FA705B3" w14:textId="77777777">
        <w:trPr>
          <w:trHeight w:val="361"/>
        </w:trPr>
        <w:tc>
          <w:tcPr>
            <w:tcW w:w="1652" w:type="dxa"/>
            <w:tcBorders>
              <w:top w:val="nil"/>
              <w:bottom w:val="nil"/>
            </w:tcBorders>
          </w:tcPr>
          <w:p w14:paraId="4B699B0C" w14:textId="77777777" w:rsidR="00703BB4" w:rsidRDefault="00F63123">
            <w:pPr>
              <w:pStyle w:val="TableParagraph"/>
              <w:ind w:left="193" w:right="191"/>
              <w:jc w:val="center"/>
              <w:rPr>
                <w:sz w:val="10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0"/>
              </w:rPr>
              <w:t>2</w:t>
            </w:r>
          </w:p>
        </w:tc>
        <w:tc>
          <w:tcPr>
            <w:tcW w:w="1124" w:type="dxa"/>
          </w:tcPr>
          <w:p w14:paraId="2D6DF919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00" w:type="dxa"/>
          </w:tcPr>
          <w:p w14:paraId="6EF9F07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58B3B3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96C283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54FA16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AEF6A3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DCBC27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CEFFF1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E1AB1B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120531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021117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7BA73D1" w14:textId="77777777">
        <w:trPr>
          <w:trHeight w:val="361"/>
        </w:trPr>
        <w:tc>
          <w:tcPr>
            <w:tcW w:w="1652" w:type="dxa"/>
            <w:tcBorders>
              <w:top w:val="nil"/>
            </w:tcBorders>
          </w:tcPr>
          <w:p w14:paraId="3592823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509A37D2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00" w:type="dxa"/>
          </w:tcPr>
          <w:p w14:paraId="475C43D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9A34CB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8C22E5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C78AC1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C6F3BE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259302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2994D5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E37EDB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2A7AF1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5F5F4B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6E09F3F4" w14:textId="77777777">
        <w:trPr>
          <w:trHeight w:val="364"/>
        </w:trPr>
        <w:tc>
          <w:tcPr>
            <w:tcW w:w="1652" w:type="dxa"/>
            <w:tcBorders>
              <w:bottom w:val="nil"/>
            </w:tcBorders>
          </w:tcPr>
          <w:p w14:paraId="36F9D026" w14:textId="77777777" w:rsidR="00703BB4" w:rsidRDefault="00F63123">
            <w:pPr>
              <w:pStyle w:val="TableParagraph"/>
              <w:spacing w:before="1"/>
              <w:ind w:left="193" w:right="191"/>
              <w:jc w:val="center"/>
              <w:rPr>
                <w:sz w:val="10"/>
              </w:rPr>
            </w:pPr>
            <w:r>
              <w:rPr>
                <w:sz w:val="16"/>
              </w:rPr>
              <w:t>powyżej 60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24" w:type="dxa"/>
          </w:tcPr>
          <w:p w14:paraId="28B316A0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0" w:type="dxa"/>
          </w:tcPr>
          <w:p w14:paraId="7977C34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028B5BC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374BB06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DBAA56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C6920D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81C99B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C41C64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25FEEC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5590EF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4A08B3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1B06655" w14:textId="77777777">
        <w:trPr>
          <w:trHeight w:val="361"/>
        </w:trPr>
        <w:tc>
          <w:tcPr>
            <w:tcW w:w="1652" w:type="dxa"/>
            <w:tcBorders>
              <w:top w:val="nil"/>
              <w:bottom w:val="nil"/>
            </w:tcBorders>
          </w:tcPr>
          <w:p w14:paraId="0EE0C736" w14:textId="77777777" w:rsidR="00703BB4" w:rsidRDefault="00F63123">
            <w:pPr>
              <w:pStyle w:val="TableParagraph"/>
              <w:spacing w:before="1"/>
              <w:ind w:left="193" w:right="191"/>
              <w:jc w:val="center"/>
              <w:rPr>
                <w:sz w:val="10"/>
              </w:rPr>
            </w:pPr>
            <w:r>
              <w:rPr>
                <w:sz w:val="16"/>
              </w:rPr>
              <w:t>do 80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24" w:type="dxa"/>
          </w:tcPr>
          <w:p w14:paraId="604727ED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00" w:type="dxa"/>
          </w:tcPr>
          <w:p w14:paraId="24D3899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62530FB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278DFA5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CC93A1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EC73CF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C7A555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C29291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32198D6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952778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BC0E225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47AE5B2C" w14:textId="77777777">
        <w:trPr>
          <w:trHeight w:val="362"/>
        </w:trPr>
        <w:tc>
          <w:tcPr>
            <w:tcW w:w="1652" w:type="dxa"/>
            <w:tcBorders>
              <w:top w:val="nil"/>
            </w:tcBorders>
          </w:tcPr>
          <w:p w14:paraId="675289E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6480E6D1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00" w:type="dxa"/>
          </w:tcPr>
          <w:p w14:paraId="4023BB7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35DC82E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67969F3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868311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70302D3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0342E24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7F0B00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279D4F97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9031EE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7C690D0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2EF2AA47" w14:textId="77777777">
        <w:trPr>
          <w:trHeight w:val="364"/>
        </w:trPr>
        <w:tc>
          <w:tcPr>
            <w:tcW w:w="1652" w:type="dxa"/>
            <w:vMerge w:val="restart"/>
          </w:tcPr>
          <w:p w14:paraId="06EC7823" w14:textId="77777777" w:rsidR="00703BB4" w:rsidRDefault="00703BB4">
            <w:pPr>
              <w:pStyle w:val="TableParagraph"/>
              <w:rPr>
                <w:b/>
                <w:sz w:val="18"/>
              </w:rPr>
            </w:pPr>
          </w:p>
          <w:p w14:paraId="38C97F54" w14:textId="77777777" w:rsidR="00703BB4" w:rsidRDefault="00703BB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5267E3A" w14:textId="77777777" w:rsidR="00703BB4" w:rsidRDefault="00F63123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sz w:val="16"/>
              </w:rPr>
              <w:t>powyżej 80 m</w:t>
            </w:r>
            <w:r>
              <w:rPr>
                <w:position w:val="5"/>
                <w:sz w:val="10"/>
              </w:rPr>
              <w:t>2</w:t>
            </w:r>
          </w:p>
        </w:tc>
        <w:tc>
          <w:tcPr>
            <w:tcW w:w="1124" w:type="dxa"/>
          </w:tcPr>
          <w:p w14:paraId="50C54033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0" w:type="dxa"/>
          </w:tcPr>
          <w:p w14:paraId="3A3CC928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48FDDB3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DCEFAE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87D80A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21BCB09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ECEDC8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0F015A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557C120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3CD106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3CFC1D0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42D3CB7" w14:textId="77777777">
        <w:trPr>
          <w:trHeight w:val="361"/>
        </w:trPr>
        <w:tc>
          <w:tcPr>
            <w:tcW w:w="1652" w:type="dxa"/>
            <w:vMerge/>
            <w:tcBorders>
              <w:top w:val="nil"/>
            </w:tcBorders>
          </w:tcPr>
          <w:p w14:paraId="2E7B2EA0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46B878E1" w14:textId="77777777" w:rsidR="00703BB4" w:rsidRDefault="00F63123">
            <w:pPr>
              <w:pStyle w:val="TableParagraph"/>
              <w:spacing w:line="180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00" w:type="dxa"/>
          </w:tcPr>
          <w:p w14:paraId="2E0237E4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2626EBB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3E2E773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79F823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D537C0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66C90E26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A30B53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49A446DC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E3F3DE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B3610B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BB4" w14:paraId="014B94F7" w14:textId="77777777">
        <w:trPr>
          <w:trHeight w:val="361"/>
        </w:trPr>
        <w:tc>
          <w:tcPr>
            <w:tcW w:w="1652" w:type="dxa"/>
            <w:vMerge/>
            <w:tcBorders>
              <w:top w:val="nil"/>
            </w:tcBorders>
          </w:tcPr>
          <w:p w14:paraId="567EFD57" w14:textId="77777777" w:rsidR="00703BB4" w:rsidRDefault="00703BB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</w:tcPr>
          <w:p w14:paraId="60C9C9AC" w14:textId="77777777" w:rsidR="00703BB4" w:rsidRDefault="00F63123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200" w:type="dxa"/>
          </w:tcPr>
          <w:p w14:paraId="384AA7DF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14:paraId="2316EE6E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1C5B253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856F51D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1B064702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</w:tcPr>
          <w:p w14:paraId="5ADED9AA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251229B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14:paraId="6DA95199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3AC4AC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3BC7E71" w14:textId="77777777" w:rsidR="00703BB4" w:rsidRDefault="00703B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9E6806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1709930A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655A91F0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5E9DA3F0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60A722C6" w14:textId="77777777" w:rsidR="00703BB4" w:rsidRDefault="00703BB4">
      <w:pPr>
        <w:pStyle w:val="Tekstpodstawowy"/>
        <w:rPr>
          <w:rFonts w:ascii="Courier New"/>
          <w:b/>
          <w:sz w:val="18"/>
        </w:rPr>
      </w:pPr>
    </w:p>
    <w:p w14:paraId="06EDF80D" w14:textId="77777777" w:rsidR="00703BB4" w:rsidRDefault="00F63123">
      <w:pPr>
        <w:pStyle w:val="Tekstpodstawowy"/>
        <w:tabs>
          <w:tab w:val="left" w:pos="679"/>
        </w:tabs>
        <w:spacing w:before="130"/>
        <w:ind w:left="111"/>
      </w:pPr>
      <w:r>
        <w:t>A</w:t>
      </w:r>
      <w:r>
        <w:rPr>
          <w:spacing w:val="-3"/>
        </w:rPr>
        <w:t xml:space="preserve"> </w:t>
      </w:r>
      <w:r>
        <w:t>-</w:t>
      </w:r>
      <w:r>
        <w:tab/>
      </w:r>
      <w:r>
        <w:t>standard wysoki (wyposażenie w instalację centralnego ogrzewania oraz korzystna lokalizacja</w:t>
      </w:r>
      <w:r>
        <w:rPr>
          <w:spacing w:val="-12"/>
        </w:rPr>
        <w:t xml:space="preserve"> </w:t>
      </w:r>
      <w:r>
        <w:t>budynku)</w:t>
      </w:r>
    </w:p>
    <w:p w14:paraId="7251B055" w14:textId="77777777" w:rsidR="00703BB4" w:rsidRDefault="00F63123">
      <w:pPr>
        <w:pStyle w:val="Tekstpodstawowy"/>
        <w:tabs>
          <w:tab w:val="left" w:pos="679"/>
        </w:tabs>
        <w:ind w:left="111" w:right="470"/>
      </w:pPr>
      <w:r>
        <w:t>B</w:t>
      </w:r>
      <w:r>
        <w:rPr>
          <w:spacing w:val="-3"/>
        </w:rPr>
        <w:t xml:space="preserve"> </w:t>
      </w:r>
      <w:r>
        <w:t>-</w:t>
      </w:r>
      <w:r>
        <w:tab/>
        <w:t>standard średni (wyposażenie w instalację centralnego ogrzewania, ale niekorzystna lokalizacja budynku lub brak instalacji centralnego ogrzewania) C</w:t>
      </w:r>
      <w:r>
        <w:rPr>
          <w:spacing w:val="-2"/>
        </w:rPr>
        <w:t xml:space="preserve"> </w:t>
      </w:r>
      <w:r>
        <w:t>-</w:t>
      </w:r>
      <w:r>
        <w:tab/>
      </w:r>
      <w:r>
        <w:t>standard niski (brak instalacji</w:t>
      </w:r>
      <w:r>
        <w:rPr>
          <w:spacing w:val="-3"/>
        </w:rPr>
        <w:t xml:space="preserve"> </w:t>
      </w:r>
      <w:r>
        <w:t>wodociągowo-kanalizacyjnej)</w:t>
      </w:r>
    </w:p>
    <w:p w14:paraId="42E6B420" w14:textId="77777777" w:rsidR="00703BB4" w:rsidRDefault="00F63123">
      <w:pPr>
        <w:pStyle w:val="Tekstpodstawowy"/>
        <w:tabs>
          <w:tab w:val="left" w:pos="679"/>
        </w:tabs>
        <w:spacing w:before="1"/>
        <w:ind w:left="111"/>
      </w:pPr>
      <w:r>
        <w:t>*</w:t>
      </w:r>
      <w:r>
        <w:rPr>
          <w:spacing w:val="-3"/>
        </w:rPr>
        <w:t xml:space="preserve"> </w:t>
      </w:r>
      <w:r>
        <w:t>-</w:t>
      </w:r>
      <w:r>
        <w:tab/>
        <w:t>budynek wymaga</w:t>
      </w:r>
      <w:r>
        <w:rPr>
          <w:spacing w:val="-1"/>
        </w:rPr>
        <w:t xml:space="preserve"> </w:t>
      </w:r>
      <w:r>
        <w:t>remontu</w:t>
      </w:r>
    </w:p>
    <w:p w14:paraId="27990439" w14:textId="77777777" w:rsidR="00703BB4" w:rsidRDefault="00F63123">
      <w:pPr>
        <w:pStyle w:val="Akapitzlist"/>
        <w:numPr>
          <w:ilvl w:val="0"/>
          <w:numId w:val="1"/>
        </w:numPr>
        <w:tabs>
          <w:tab w:val="left" w:pos="290"/>
          <w:tab w:val="left" w:pos="679"/>
        </w:tabs>
        <w:spacing w:before="1"/>
        <w:jc w:val="left"/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stawka czynszu najniższa; średnia z najniższych stawek w przypadku większej liczby</w:t>
      </w:r>
      <w:r>
        <w:rPr>
          <w:spacing w:val="-10"/>
          <w:sz w:val="20"/>
        </w:rPr>
        <w:t xml:space="preserve"> </w:t>
      </w:r>
      <w:r>
        <w:rPr>
          <w:sz w:val="20"/>
        </w:rPr>
        <w:t>stawek</w:t>
      </w:r>
    </w:p>
    <w:p w14:paraId="3443B4F5" w14:textId="77777777" w:rsidR="00703BB4" w:rsidRDefault="00F63123">
      <w:pPr>
        <w:pStyle w:val="Akapitzlist"/>
        <w:numPr>
          <w:ilvl w:val="0"/>
          <w:numId w:val="1"/>
        </w:numPr>
        <w:tabs>
          <w:tab w:val="left" w:pos="679"/>
          <w:tab w:val="left" w:pos="680"/>
        </w:tabs>
        <w:ind w:left="680" w:hanging="428"/>
        <w:jc w:val="left"/>
        <w:rPr>
          <w:sz w:val="20"/>
        </w:rPr>
      </w:pPr>
      <w:r>
        <w:rPr>
          <w:sz w:val="20"/>
        </w:rPr>
        <w:t xml:space="preserve">stawka czynszu najwyższa; średnia z najwyższych stawek w przypadku większej </w:t>
      </w:r>
      <w:r>
        <w:rPr>
          <w:sz w:val="20"/>
        </w:rPr>
        <w:t>liczby</w:t>
      </w:r>
      <w:r>
        <w:rPr>
          <w:spacing w:val="-10"/>
          <w:sz w:val="20"/>
        </w:rPr>
        <w:t xml:space="preserve"> </w:t>
      </w:r>
      <w:r>
        <w:rPr>
          <w:sz w:val="20"/>
        </w:rPr>
        <w:t>stawek</w:t>
      </w:r>
    </w:p>
    <w:sectPr w:rsidR="00703BB4">
      <w:pgSz w:w="15840" w:h="12240" w:orient="landscape"/>
      <w:pgMar w:top="44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475"/>
    <w:multiLevelType w:val="hybridMultilevel"/>
    <w:tmpl w:val="D8F6E694"/>
    <w:lvl w:ilvl="0" w:tplc="6364631E">
      <w:start w:val="1"/>
      <w:numFmt w:val="decimal"/>
      <w:lvlText w:val="%1)"/>
      <w:lvlJc w:val="left"/>
      <w:pPr>
        <w:ind w:left="289" w:hanging="179"/>
        <w:jc w:val="right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DC228984">
      <w:numFmt w:val="bullet"/>
      <w:lvlText w:val="•"/>
      <w:lvlJc w:val="left"/>
      <w:pPr>
        <w:ind w:left="1678" w:hanging="179"/>
      </w:pPr>
      <w:rPr>
        <w:rFonts w:hint="default"/>
        <w:lang w:val="pl-PL" w:eastAsia="pl-PL" w:bidi="pl-PL"/>
      </w:rPr>
    </w:lvl>
    <w:lvl w:ilvl="2" w:tplc="046E2B6C">
      <w:numFmt w:val="bullet"/>
      <w:lvlText w:val="•"/>
      <w:lvlJc w:val="left"/>
      <w:pPr>
        <w:ind w:left="3076" w:hanging="179"/>
      </w:pPr>
      <w:rPr>
        <w:rFonts w:hint="default"/>
        <w:lang w:val="pl-PL" w:eastAsia="pl-PL" w:bidi="pl-PL"/>
      </w:rPr>
    </w:lvl>
    <w:lvl w:ilvl="3" w:tplc="4692E258">
      <w:numFmt w:val="bullet"/>
      <w:lvlText w:val="•"/>
      <w:lvlJc w:val="left"/>
      <w:pPr>
        <w:ind w:left="4474" w:hanging="179"/>
      </w:pPr>
      <w:rPr>
        <w:rFonts w:hint="default"/>
        <w:lang w:val="pl-PL" w:eastAsia="pl-PL" w:bidi="pl-PL"/>
      </w:rPr>
    </w:lvl>
    <w:lvl w:ilvl="4" w:tplc="0F5A6086">
      <w:numFmt w:val="bullet"/>
      <w:lvlText w:val="•"/>
      <w:lvlJc w:val="left"/>
      <w:pPr>
        <w:ind w:left="5872" w:hanging="179"/>
      </w:pPr>
      <w:rPr>
        <w:rFonts w:hint="default"/>
        <w:lang w:val="pl-PL" w:eastAsia="pl-PL" w:bidi="pl-PL"/>
      </w:rPr>
    </w:lvl>
    <w:lvl w:ilvl="5" w:tplc="5DA8853E">
      <w:numFmt w:val="bullet"/>
      <w:lvlText w:val="•"/>
      <w:lvlJc w:val="left"/>
      <w:pPr>
        <w:ind w:left="7270" w:hanging="179"/>
      </w:pPr>
      <w:rPr>
        <w:rFonts w:hint="default"/>
        <w:lang w:val="pl-PL" w:eastAsia="pl-PL" w:bidi="pl-PL"/>
      </w:rPr>
    </w:lvl>
    <w:lvl w:ilvl="6" w:tplc="FBF22C10">
      <w:numFmt w:val="bullet"/>
      <w:lvlText w:val="•"/>
      <w:lvlJc w:val="left"/>
      <w:pPr>
        <w:ind w:left="8668" w:hanging="179"/>
      </w:pPr>
      <w:rPr>
        <w:rFonts w:hint="default"/>
        <w:lang w:val="pl-PL" w:eastAsia="pl-PL" w:bidi="pl-PL"/>
      </w:rPr>
    </w:lvl>
    <w:lvl w:ilvl="7" w:tplc="B0B6A2AC">
      <w:numFmt w:val="bullet"/>
      <w:lvlText w:val="•"/>
      <w:lvlJc w:val="left"/>
      <w:pPr>
        <w:ind w:left="10066" w:hanging="179"/>
      </w:pPr>
      <w:rPr>
        <w:rFonts w:hint="default"/>
        <w:lang w:val="pl-PL" w:eastAsia="pl-PL" w:bidi="pl-PL"/>
      </w:rPr>
    </w:lvl>
    <w:lvl w:ilvl="8" w:tplc="2958598E">
      <w:numFmt w:val="bullet"/>
      <w:lvlText w:val="•"/>
      <w:lvlJc w:val="left"/>
      <w:pPr>
        <w:ind w:left="11464" w:hanging="179"/>
      </w:pPr>
      <w:rPr>
        <w:rFonts w:hint="default"/>
        <w:lang w:val="pl-PL" w:eastAsia="pl-PL" w:bidi="pl-PL"/>
      </w:rPr>
    </w:lvl>
  </w:abstractNum>
  <w:abstractNum w:abstractNumId="1" w15:restartNumberingAfterBreak="0">
    <w:nsid w:val="3C582FC1"/>
    <w:multiLevelType w:val="hybridMultilevel"/>
    <w:tmpl w:val="58B69436"/>
    <w:lvl w:ilvl="0" w:tplc="461C1822">
      <w:start w:val="1"/>
      <w:numFmt w:val="decimal"/>
      <w:lvlText w:val="%1)"/>
      <w:lvlJc w:val="left"/>
      <w:pPr>
        <w:ind w:left="289" w:hanging="179"/>
        <w:jc w:val="right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0EA4FF5E">
      <w:numFmt w:val="bullet"/>
      <w:lvlText w:val="•"/>
      <w:lvlJc w:val="left"/>
      <w:pPr>
        <w:ind w:left="1678" w:hanging="179"/>
      </w:pPr>
      <w:rPr>
        <w:rFonts w:hint="default"/>
        <w:lang w:val="pl-PL" w:eastAsia="pl-PL" w:bidi="pl-PL"/>
      </w:rPr>
    </w:lvl>
    <w:lvl w:ilvl="2" w:tplc="53820602">
      <w:numFmt w:val="bullet"/>
      <w:lvlText w:val="•"/>
      <w:lvlJc w:val="left"/>
      <w:pPr>
        <w:ind w:left="3076" w:hanging="179"/>
      </w:pPr>
      <w:rPr>
        <w:rFonts w:hint="default"/>
        <w:lang w:val="pl-PL" w:eastAsia="pl-PL" w:bidi="pl-PL"/>
      </w:rPr>
    </w:lvl>
    <w:lvl w:ilvl="3" w:tplc="F4EA6C7E">
      <w:numFmt w:val="bullet"/>
      <w:lvlText w:val="•"/>
      <w:lvlJc w:val="left"/>
      <w:pPr>
        <w:ind w:left="4474" w:hanging="179"/>
      </w:pPr>
      <w:rPr>
        <w:rFonts w:hint="default"/>
        <w:lang w:val="pl-PL" w:eastAsia="pl-PL" w:bidi="pl-PL"/>
      </w:rPr>
    </w:lvl>
    <w:lvl w:ilvl="4" w:tplc="8F9028EE">
      <w:numFmt w:val="bullet"/>
      <w:lvlText w:val="•"/>
      <w:lvlJc w:val="left"/>
      <w:pPr>
        <w:ind w:left="5872" w:hanging="179"/>
      </w:pPr>
      <w:rPr>
        <w:rFonts w:hint="default"/>
        <w:lang w:val="pl-PL" w:eastAsia="pl-PL" w:bidi="pl-PL"/>
      </w:rPr>
    </w:lvl>
    <w:lvl w:ilvl="5" w:tplc="BC2C9D38">
      <w:numFmt w:val="bullet"/>
      <w:lvlText w:val="•"/>
      <w:lvlJc w:val="left"/>
      <w:pPr>
        <w:ind w:left="7270" w:hanging="179"/>
      </w:pPr>
      <w:rPr>
        <w:rFonts w:hint="default"/>
        <w:lang w:val="pl-PL" w:eastAsia="pl-PL" w:bidi="pl-PL"/>
      </w:rPr>
    </w:lvl>
    <w:lvl w:ilvl="6" w:tplc="08062280">
      <w:numFmt w:val="bullet"/>
      <w:lvlText w:val="•"/>
      <w:lvlJc w:val="left"/>
      <w:pPr>
        <w:ind w:left="8668" w:hanging="179"/>
      </w:pPr>
      <w:rPr>
        <w:rFonts w:hint="default"/>
        <w:lang w:val="pl-PL" w:eastAsia="pl-PL" w:bidi="pl-PL"/>
      </w:rPr>
    </w:lvl>
    <w:lvl w:ilvl="7" w:tplc="E29AC616">
      <w:numFmt w:val="bullet"/>
      <w:lvlText w:val="•"/>
      <w:lvlJc w:val="left"/>
      <w:pPr>
        <w:ind w:left="10066" w:hanging="179"/>
      </w:pPr>
      <w:rPr>
        <w:rFonts w:hint="default"/>
        <w:lang w:val="pl-PL" w:eastAsia="pl-PL" w:bidi="pl-PL"/>
      </w:rPr>
    </w:lvl>
    <w:lvl w:ilvl="8" w:tplc="F7F2A1AE">
      <w:numFmt w:val="bullet"/>
      <w:lvlText w:val="•"/>
      <w:lvlJc w:val="left"/>
      <w:pPr>
        <w:ind w:left="11464" w:hanging="179"/>
      </w:pPr>
      <w:rPr>
        <w:rFonts w:hint="default"/>
        <w:lang w:val="pl-PL" w:eastAsia="pl-PL" w:bidi="pl-PL"/>
      </w:rPr>
    </w:lvl>
  </w:abstractNum>
  <w:abstractNum w:abstractNumId="2" w15:restartNumberingAfterBreak="0">
    <w:nsid w:val="7B1B0377"/>
    <w:multiLevelType w:val="hybridMultilevel"/>
    <w:tmpl w:val="4DC4BA16"/>
    <w:lvl w:ilvl="0" w:tplc="5372B290">
      <w:start w:val="1"/>
      <w:numFmt w:val="lowerLetter"/>
      <w:lvlText w:val="%1)"/>
      <w:lvlJc w:val="left"/>
      <w:pPr>
        <w:ind w:left="7213" w:hanging="288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16"/>
        <w:szCs w:val="16"/>
        <w:lang w:val="pl-PL" w:eastAsia="pl-PL" w:bidi="pl-PL"/>
      </w:rPr>
    </w:lvl>
    <w:lvl w:ilvl="1" w:tplc="DA22F2C0">
      <w:numFmt w:val="bullet"/>
      <w:lvlText w:val="•"/>
      <w:lvlJc w:val="left"/>
      <w:pPr>
        <w:ind w:left="7924" w:hanging="288"/>
      </w:pPr>
      <w:rPr>
        <w:rFonts w:hint="default"/>
        <w:lang w:val="pl-PL" w:eastAsia="pl-PL" w:bidi="pl-PL"/>
      </w:rPr>
    </w:lvl>
    <w:lvl w:ilvl="2" w:tplc="5F42F8D0">
      <w:numFmt w:val="bullet"/>
      <w:lvlText w:val="•"/>
      <w:lvlJc w:val="left"/>
      <w:pPr>
        <w:ind w:left="8628" w:hanging="288"/>
      </w:pPr>
      <w:rPr>
        <w:rFonts w:hint="default"/>
        <w:lang w:val="pl-PL" w:eastAsia="pl-PL" w:bidi="pl-PL"/>
      </w:rPr>
    </w:lvl>
    <w:lvl w:ilvl="3" w:tplc="CCB0070E">
      <w:numFmt w:val="bullet"/>
      <w:lvlText w:val="•"/>
      <w:lvlJc w:val="left"/>
      <w:pPr>
        <w:ind w:left="9332" w:hanging="288"/>
      </w:pPr>
      <w:rPr>
        <w:rFonts w:hint="default"/>
        <w:lang w:val="pl-PL" w:eastAsia="pl-PL" w:bidi="pl-PL"/>
      </w:rPr>
    </w:lvl>
    <w:lvl w:ilvl="4" w:tplc="E78211DE">
      <w:numFmt w:val="bullet"/>
      <w:lvlText w:val="•"/>
      <w:lvlJc w:val="left"/>
      <w:pPr>
        <w:ind w:left="10036" w:hanging="288"/>
      </w:pPr>
      <w:rPr>
        <w:rFonts w:hint="default"/>
        <w:lang w:val="pl-PL" w:eastAsia="pl-PL" w:bidi="pl-PL"/>
      </w:rPr>
    </w:lvl>
    <w:lvl w:ilvl="5" w:tplc="BC988648">
      <w:numFmt w:val="bullet"/>
      <w:lvlText w:val="•"/>
      <w:lvlJc w:val="left"/>
      <w:pPr>
        <w:ind w:left="10740" w:hanging="288"/>
      </w:pPr>
      <w:rPr>
        <w:rFonts w:hint="default"/>
        <w:lang w:val="pl-PL" w:eastAsia="pl-PL" w:bidi="pl-PL"/>
      </w:rPr>
    </w:lvl>
    <w:lvl w:ilvl="6" w:tplc="FDBA5F3A">
      <w:numFmt w:val="bullet"/>
      <w:lvlText w:val="•"/>
      <w:lvlJc w:val="left"/>
      <w:pPr>
        <w:ind w:left="11444" w:hanging="288"/>
      </w:pPr>
      <w:rPr>
        <w:rFonts w:hint="default"/>
        <w:lang w:val="pl-PL" w:eastAsia="pl-PL" w:bidi="pl-PL"/>
      </w:rPr>
    </w:lvl>
    <w:lvl w:ilvl="7" w:tplc="BFD02376">
      <w:numFmt w:val="bullet"/>
      <w:lvlText w:val="•"/>
      <w:lvlJc w:val="left"/>
      <w:pPr>
        <w:ind w:left="12148" w:hanging="288"/>
      </w:pPr>
      <w:rPr>
        <w:rFonts w:hint="default"/>
        <w:lang w:val="pl-PL" w:eastAsia="pl-PL" w:bidi="pl-PL"/>
      </w:rPr>
    </w:lvl>
    <w:lvl w:ilvl="8" w:tplc="F1DC0DC2">
      <w:numFmt w:val="bullet"/>
      <w:lvlText w:val="•"/>
      <w:lvlJc w:val="left"/>
      <w:pPr>
        <w:ind w:left="12852" w:hanging="288"/>
      </w:pPr>
      <w:rPr>
        <w:rFonts w:hint="default"/>
        <w:lang w:val="pl-PL" w:eastAsia="pl-PL" w:bidi="pl-PL"/>
      </w:rPr>
    </w:lvl>
  </w:abstractNum>
  <w:num w:numId="1" w16cid:durableId="1597397079">
    <w:abstractNumId w:val="0"/>
  </w:num>
  <w:num w:numId="2" w16cid:durableId="506095752">
    <w:abstractNumId w:val="1"/>
  </w:num>
  <w:num w:numId="3" w16cid:durableId="30686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B4"/>
    <w:rsid w:val="00703BB4"/>
    <w:rsid w:val="00F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74BC"/>
  <w15:docId w15:val="{3402C4BE-7377-411C-9F3C-EB85684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961" w:right="13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89" w:hanging="428"/>
    </w:pPr>
  </w:style>
  <w:style w:type="paragraph" w:customStyle="1" w:styleId="TableParagraph">
    <w:name w:val="Table Paragraph"/>
    <w:basedOn w:val="Normalny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danych dotyczących czynszów najmu lokali mieszkalnych nienależących do publicznego zasobu mieszkaniowego za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danych dotyczących czynszów najmu lokali mieszkalnych nienależących do publicznego zasobu mieszkaniowego za</dc:title>
  <dc:creator>Joanna Nowacka</dc:creator>
  <cp:lastModifiedBy>Tomasz Ozimek</cp:lastModifiedBy>
  <cp:revision>2</cp:revision>
  <dcterms:created xsi:type="dcterms:W3CDTF">2022-04-27T13:44:00Z</dcterms:created>
  <dcterms:modified xsi:type="dcterms:W3CDTF">2022-04-27T13:45:00Z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